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A23FB" w14:textId="77777777" w:rsidR="000D1FEE" w:rsidRPr="000D1FEE" w:rsidRDefault="000D1FEE" w:rsidP="000D1FEE">
      <w:pPr>
        <w:rPr>
          <w:b/>
          <w:sz w:val="24"/>
          <w:szCs w:val="24"/>
        </w:rPr>
      </w:pPr>
      <w:r w:rsidRPr="000D1FEE">
        <w:rPr>
          <w:b/>
          <w:sz w:val="24"/>
          <w:szCs w:val="24"/>
        </w:rPr>
        <w:t>The Foreign Corrupt Practices Act</w:t>
      </w:r>
    </w:p>
    <w:p w14:paraId="0C232496" w14:textId="77777777" w:rsidR="000D1FEE" w:rsidRDefault="000D1FEE" w:rsidP="000D1FEE">
      <w:pPr>
        <w:rPr>
          <w:sz w:val="24"/>
          <w:szCs w:val="24"/>
        </w:rPr>
      </w:pPr>
    </w:p>
    <w:p w14:paraId="3B3F3E26" w14:textId="77777777" w:rsidR="000D1FEE" w:rsidRPr="000D1FEE" w:rsidRDefault="000D1FEE" w:rsidP="000D1FEE">
      <w:pPr>
        <w:rPr>
          <w:sz w:val="24"/>
          <w:szCs w:val="24"/>
        </w:rPr>
      </w:pPr>
      <w:r w:rsidRPr="000D1FEE">
        <w:rPr>
          <w:sz w:val="24"/>
          <w:szCs w:val="24"/>
        </w:rPr>
        <w:t xml:space="preserve">All U.S. companies are subject to the constraints imposed by </w:t>
      </w:r>
      <w:hyperlink r:id="rId7" w:history="1">
        <w:r w:rsidRPr="007522D3">
          <w:rPr>
            <w:rStyle w:val="Hyperlink"/>
            <w:sz w:val="24"/>
            <w:szCs w:val="24"/>
          </w:rPr>
          <w:t>the Foreign Corrupt Practices Act (FCPA</w:t>
        </w:r>
      </w:hyperlink>
      <w:bookmarkStart w:id="0" w:name="_GoBack"/>
      <w:bookmarkEnd w:id="0"/>
      <w:r w:rsidRPr="000D1FEE">
        <w:rPr>
          <w:sz w:val="24"/>
          <w:szCs w:val="24"/>
        </w:rPr>
        <w:t xml:space="preserve">). This federal law prohibits the payment of bribes </w:t>
      </w:r>
      <w:proofErr w:type="gramStart"/>
      <w:r w:rsidRPr="000D1FEE">
        <w:rPr>
          <w:sz w:val="24"/>
          <w:szCs w:val="24"/>
        </w:rPr>
        <w:t>for the purpose of</w:t>
      </w:r>
      <w:proofErr w:type="gramEnd"/>
      <w:r w:rsidRPr="000D1FEE">
        <w:rPr>
          <w:sz w:val="24"/>
          <w:szCs w:val="24"/>
        </w:rPr>
        <w:t xml:space="preserve"> influencing foreign government officials.  It also prohibits deceptive accounting practices that seek to obscure such payments.  There is an exception to the anti-bribery prohibition for payments to facilitate or expedite performance of a "routine governmental action." The statute lists the following examples: obtaining permits, licenses, or other official documents; processing governmental papers, such as visas and work orders; providing police protection, mail pick-up and delivery; providing phone service, power and water supply, loading and unloading cargo, or protecting perishable products; and scheduling inspections associated with contract performance or transit of goods across country. "Routine governmental action" does </w:t>
      </w:r>
      <w:r w:rsidRPr="000D1FEE">
        <w:rPr>
          <w:i/>
          <w:iCs/>
          <w:sz w:val="24"/>
          <w:szCs w:val="24"/>
        </w:rPr>
        <w:t>not</w:t>
      </w:r>
      <w:r w:rsidRPr="000D1FEE">
        <w:rPr>
          <w:sz w:val="24"/>
          <w:szCs w:val="24"/>
        </w:rPr>
        <w:t xml:space="preserve"> include any decision by a foreign official to award new business or to continue business with a particular party.  </w:t>
      </w:r>
    </w:p>
    <w:p w14:paraId="043FFF5D" w14:textId="77777777" w:rsidR="000D1FEE" w:rsidRPr="000D1FEE" w:rsidRDefault="000D1FEE" w:rsidP="000D1FEE">
      <w:pPr>
        <w:pStyle w:val="BodyText"/>
        <w:rPr>
          <w:b w:val="0"/>
          <w:sz w:val="24"/>
          <w:szCs w:val="24"/>
        </w:rPr>
      </w:pPr>
    </w:p>
    <w:p w14:paraId="2634582C" w14:textId="77777777" w:rsidR="000D1FEE" w:rsidRPr="000D1FEE" w:rsidRDefault="000D1FEE" w:rsidP="000D1FEE">
      <w:pPr>
        <w:pStyle w:val="BodyText"/>
        <w:rPr>
          <w:b w:val="0"/>
          <w:sz w:val="24"/>
          <w:szCs w:val="24"/>
        </w:rPr>
      </w:pPr>
      <w:r w:rsidRPr="000D1FEE">
        <w:rPr>
          <w:b w:val="0"/>
          <w:sz w:val="24"/>
          <w:szCs w:val="24"/>
        </w:rPr>
        <w:t>There are both criminal and civil penalties for violating the FCPA:</w:t>
      </w:r>
    </w:p>
    <w:p w14:paraId="41274B1A" w14:textId="77777777" w:rsidR="000D1FEE" w:rsidRPr="000D1FEE" w:rsidRDefault="000D1FEE" w:rsidP="000D1FEE">
      <w:pPr>
        <w:rPr>
          <w:bCs/>
          <w:sz w:val="24"/>
          <w:szCs w:val="24"/>
        </w:rPr>
      </w:pPr>
      <w:r w:rsidRPr="000D1FEE">
        <w:rPr>
          <w:bCs/>
          <w:sz w:val="24"/>
          <w:szCs w:val="24"/>
          <w:u w:val="single"/>
        </w:rPr>
        <w:t>Criminal</w:t>
      </w:r>
      <w:r w:rsidRPr="000D1FEE">
        <w:rPr>
          <w:bCs/>
          <w:sz w:val="24"/>
          <w:szCs w:val="24"/>
        </w:rPr>
        <w:t xml:space="preserve">: The following criminal penalties may be imposed for violations of the FCPA's antibribery provisions: corporations and other business entities are subject to a fine of up to $2,000,000; officers, directors, stockholders, employees, and agents are subject to a fine of up to $100,000 and imprisonment for up to five years. You should also be aware that fines imposed on individuals may </w:t>
      </w:r>
      <w:r w:rsidRPr="000D1FEE">
        <w:rPr>
          <w:bCs/>
          <w:i/>
          <w:iCs/>
          <w:sz w:val="24"/>
          <w:szCs w:val="24"/>
        </w:rPr>
        <w:t>not</w:t>
      </w:r>
      <w:r w:rsidRPr="000D1FEE">
        <w:rPr>
          <w:bCs/>
          <w:sz w:val="24"/>
          <w:szCs w:val="24"/>
        </w:rPr>
        <w:t xml:space="preserve"> be paid by their employer or principal. </w:t>
      </w:r>
    </w:p>
    <w:p w14:paraId="1B790A5A" w14:textId="77777777" w:rsidR="000D1FEE" w:rsidRPr="000D1FEE" w:rsidRDefault="000D1FEE" w:rsidP="000D1FEE">
      <w:pPr>
        <w:pStyle w:val="NormalWeb"/>
        <w:rPr>
          <w:bCs/>
          <w:color w:val="auto"/>
        </w:rPr>
      </w:pPr>
      <w:r w:rsidRPr="000D1FEE">
        <w:rPr>
          <w:bCs/>
          <w:color w:val="auto"/>
          <w:u w:val="single"/>
        </w:rPr>
        <w:t>Civil:</w:t>
      </w:r>
      <w:r w:rsidRPr="000D1FEE">
        <w:rPr>
          <w:bCs/>
          <w:color w:val="auto"/>
        </w:rPr>
        <w:t xml:space="preserve"> The Attorney General or the SEC, as appropriate, may bring a civil action for a fine of up to $10,000 against any firm </w:t>
      </w:r>
      <w:r w:rsidRPr="000D1FEE">
        <w:rPr>
          <w:bCs/>
          <w:i/>
          <w:iCs/>
          <w:color w:val="auto"/>
        </w:rPr>
        <w:t>as well as</w:t>
      </w:r>
      <w:r w:rsidRPr="000D1FEE">
        <w:rPr>
          <w:bCs/>
          <w:color w:val="auto"/>
        </w:rPr>
        <w:t xml:space="preserve"> any officer, director, employee, or agent of a firm, or stockholder acting on behalf of the firm, who violates the anti-bribery provisions. In addition, in an SEC enforcement action, the court may impose an additional fine. The specified dollar limitations are based on the egregiousness of the violation, ranging from $5,000 to $100,000 for a natural person and $50,000 to $500,000 for any other person. </w:t>
      </w:r>
    </w:p>
    <w:p w14:paraId="0D8ED360" w14:textId="77777777" w:rsidR="000D1FEE" w:rsidRPr="000D1FEE" w:rsidRDefault="000D1FEE" w:rsidP="000D1FEE">
      <w:pPr>
        <w:pStyle w:val="NormalWeb"/>
        <w:rPr>
          <w:bCs/>
          <w:color w:val="auto"/>
        </w:rPr>
      </w:pPr>
      <w:r w:rsidRPr="000D1FEE">
        <w:rPr>
          <w:bCs/>
          <w:color w:val="auto"/>
          <w:u w:val="single"/>
        </w:rPr>
        <w:t>Affirmative Defenses:</w:t>
      </w:r>
      <w:r w:rsidRPr="000D1FEE">
        <w:rPr>
          <w:bCs/>
          <w:color w:val="auto"/>
        </w:rPr>
        <w:t xml:space="preserve">  A person charged with a violation of the FCPA's anti-bribery provisions </w:t>
      </w:r>
      <w:r w:rsidRPr="000D1FEE">
        <w:rPr>
          <w:bCs/>
          <w:color w:val="auto"/>
          <w:u w:val="single"/>
        </w:rPr>
        <w:t>may assert as a defense that the payment was lawful under the written laws of the foreign country</w:t>
      </w:r>
      <w:r w:rsidRPr="000D1FEE">
        <w:rPr>
          <w:bCs/>
          <w:color w:val="auto"/>
        </w:rPr>
        <w:t xml:space="preserve"> or that the money was spent as part of demonstrating a product or performing a contractual obligation.  </w:t>
      </w:r>
    </w:p>
    <w:p w14:paraId="3B4FB196" w14:textId="77777777" w:rsidR="005D4FC5" w:rsidRPr="000D1FEE" w:rsidRDefault="005D4FC5">
      <w:pPr>
        <w:rPr>
          <w:sz w:val="24"/>
          <w:szCs w:val="24"/>
        </w:rPr>
      </w:pPr>
    </w:p>
    <w:sectPr w:rsidR="005D4FC5" w:rsidRPr="000D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EE"/>
    <w:rsid w:val="000D1FEE"/>
    <w:rsid w:val="00150D9D"/>
    <w:rsid w:val="00401FF7"/>
    <w:rsid w:val="00403726"/>
    <w:rsid w:val="005D4FC5"/>
    <w:rsid w:val="006C5F6D"/>
    <w:rsid w:val="007522D3"/>
    <w:rsid w:val="00D3111E"/>
    <w:rsid w:val="00E6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0E87"/>
  <w15:chartTrackingRefBased/>
  <w15:docId w15:val="{603F7D1F-A2BD-43A0-BF2F-1F70A3C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FE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D1FE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BodyText">
    <w:name w:val="Body Text"/>
    <w:basedOn w:val="Normal"/>
    <w:link w:val="BodyTextChar"/>
    <w:rsid w:val="000D1FE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0D1F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FE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22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justice.gov/criminal-fraud/foreign-corrupt-practices-ac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AF4B7C5E1BA8489D089F52752AA5C1" ma:contentTypeVersion="13" ma:contentTypeDescription="Create a new document." ma:contentTypeScope="" ma:versionID="606d5af7386d3f2c52c8f8a478bc625d">
  <xsd:schema xmlns:xsd="http://www.w3.org/2001/XMLSchema" xmlns:xs="http://www.w3.org/2001/XMLSchema" xmlns:p="http://schemas.microsoft.com/office/2006/metadata/properties" xmlns:ns3="c089ece9-97c7-40b2-a602-b91b7ef1ec7a" xmlns:ns4="deb47cf7-25cf-415d-9621-9b2f4f00cc06" targetNamespace="http://schemas.microsoft.com/office/2006/metadata/properties" ma:root="true" ma:fieldsID="7577808c03af9166df5ab6cdd7dc2aaa" ns3:_="" ns4:_="">
    <xsd:import namespace="c089ece9-97c7-40b2-a602-b91b7ef1ec7a"/>
    <xsd:import namespace="deb47cf7-25cf-415d-9621-9b2f4f00cc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ce9-97c7-40b2-a602-b91b7ef1e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7cf7-25cf-415d-9621-9b2f4f00cc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53CDD-B300-41EC-A5FF-22E9C0472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ce9-97c7-40b2-a602-b91b7ef1ec7a"/>
    <ds:schemaRef ds:uri="deb47cf7-25cf-415d-9621-9b2f4f00c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10FEF6-5FCD-48DA-B116-05CACA816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4EDA6-FFFE-47B5-8BF2-4E61EF29FA0D}">
  <ds:schemaRefs>
    <ds:schemaRef ds:uri="http://schemas.microsoft.com/office/infopath/2007/PartnerControls"/>
    <ds:schemaRef ds:uri="c089ece9-97c7-40b2-a602-b91b7ef1ec7a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deb47cf7-25cf-415d-9621-9b2f4f00cc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Terry</dc:creator>
  <cp:keywords/>
  <dc:description/>
  <cp:lastModifiedBy>Foster, Terry</cp:lastModifiedBy>
  <cp:revision>2</cp:revision>
  <cp:lastPrinted>2018-12-03T21:56:00Z</cp:lastPrinted>
  <dcterms:created xsi:type="dcterms:W3CDTF">2020-11-09T16:50:00Z</dcterms:created>
  <dcterms:modified xsi:type="dcterms:W3CDTF">2020-11-09T16:50:00Z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0x0101005BAF4B7C5E1BA8489D089F52752AA5C1</vt:lpwstr>
  </property>
</Properties>
</file>